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C748C" w:rsidRPr="00DC748C" w:rsidTr="00DC748C">
        <w:trPr>
          <w:tblCellSpacing w:w="0" w:type="dxa"/>
        </w:trPr>
        <w:tc>
          <w:tcPr>
            <w:tcW w:w="3348" w:type="dxa"/>
            <w:shd w:val="clear" w:color="auto" w:fill="FFFFFF"/>
            <w:tcMar>
              <w:top w:w="0" w:type="dxa"/>
              <w:left w:w="108" w:type="dxa"/>
              <w:bottom w:w="0" w:type="dxa"/>
              <w:right w:w="108" w:type="dxa"/>
            </w:tcMar>
            <w:hideMark/>
          </w:tcPr>
          <w:p w:rsidR="00DC748C" w:rsidRPr="00DC748C" w:rsidRDefault="00DC748C" w:rsidP="00DC748C">
            <w:pPr>
              <w:spacing w:before="120" w:after="120" w:line="234" w:lineRule="atLeast"/>
              <w:jc w:val="center"/>
              <w:rPr>
                <w:rFonts w:ascii="Arial" w:eastAsia="Times New Roman" w:hAnsi="Arial" w:cs="Arial"/>
                <w:color w:val="000000"/>
                <w:sz w:val="18"/>
                <w:szCs w:val="18"/>
              </w:rPr>
            </w:pPr>
            <w:r w:rsidRPr="00DC748C">
              <w:rPr>
                <w:rFonts w:ascii="Arial" w:eastAsia="Times New Roman" w:hAnsi="Arial" w:cs="Arial"/>
                <w:b/>
                <w:bCs/>
                <w:color w:val="000000"/>
                <w:sz w:val="18"/>
                <w:szCs w:val="18"/>
                <w:lang w:val="vi-VN"/>
              </w:rPr>
              <w:t>ỦY BAN THƯỜNG VỤ</w:t>
            </w:r>
            <w:r w:rsidRPr="00DC748C">
              <w:rPr>
                <w:rFonts w:ascii="Arial" w:eastAsia="Times New Roman" w:hAnsi="Arial" w:cs="Arial"/>
                <w:b/>
                <w:bCs/>
                <w:color w:val="000000"/>
                <w:sz w:val="18"/>
                <w:szCs w:val="18"/>
              </w:rPr>
              <w:br/>
            </w:r>
            <w:r w:rsidRPr="00DC748C">
              <w:rPr>
                <w:rFonts w:ascii="Arial" w:eastAsia="Times New Roman" w:hAnsi="Arial" w:cs="Arial"/>
                <w:b/>
                <w:bCs/>
                <w:color w:val="000000"/>
                <w:sz w:val="18"/>
                <w:szCs w:val="18"/>
                <w:lang w:val="vi-VN"/>
              </w:rPr>
              <w:t>QUỐC HỘI</w:t>
            </w:r>
            <w:r w:rsidRPr="00DC748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C748C" w:rsidRPr="00DC748C" w:rsidRDefault="00DC748C" w:rsidP="00DC748C">
            <w:pPr>
              <w:spacing w:before="120" w:after="120" w:line="234" w:lineRule="atLeast"/>
              <w:jc w:val="center"/>
              <w:rPr>
                <w:rFonts w:ascii="Arial" w:eastAsia="Times New Roman" w:hAnsi="Arial" w:cs="Arial"/>
                <w:color w:val="000000"/>
                <w:sz w:val="18"/>
                <w:szCs w:val="18"/>
              </w:rPr>
            </w:pPr>
            <w:r w:rsidRPr="00DC748C">
              <w:rPr>
                <w:rFonts w:ascii="Arial" w:eastAsia="Times New Roman" w:hAnsi="Arial" w:cs="Arial"/>
                <w:b/>
                <w:bCs/>
                <w:color w:val="000000"/>
                <w:sz w:val="18"/>
                <w:szCs w:val="18"/>
                <w:lang w:val="vi-VN"/>
              </w:rPr>
              <w:t>CỘNG HÒA XÃ HỘI CHỦ NGHĨA VIỆT NAM</w:t>
            </w:r>
            <w:r w:rsidRPr="00DC748C">
              <w:rPr>
                <w:rFonts w:ascii="Arial" w:eastAsia="Times New Roman" w:hAnsi="Arial" w:cs="Arial"/>
                <w:b/>
                <w:bCs/>
                <w:color w:val="000000"/>
                <w:sz w:val="18"/>
                <w:szCs w:val="18"/>
                <w:lang w:val="vi-VN"/>
              </w:rPr>
              <w:br/>
              <w:t>Độc lập - Tự do - Hạnh phúc</w:t>
            </w:r>
            <w:r w:rsidRPr="00DC748C">
              <w:rPr>
                <w:rFonts w:ascii="Arial" w:eastAsia="Times New Roman" w:hAnsi="Arial" w:cs="Arial"/>
                <w:b/>
                <w:bCs/>
                <w:color w:val="000000"/>
                <w:sz w:val="18"/>
                <w:szCs w:val="18"/>
                <w:lang w:val="vi-VN"/>
              </w:rPr>
              <w:br/>
              <w:t>---------------</w:t>
            </w:r>
          </w:p>
        </w:tc>
      </w:tr>
      <w:tr w:rsidR="00DC748C" w:rsidRPr="00DC748C" w:rsidTr="00DC748C">
        <w:trPr>
          <w:tblCellSpacing w:w="0" w:type="dxa"/>
        </w:trPr>
        <w:tc>
          <w:tcPr>
            <w:tcW w:w="3348" w:type="dxa"/>
            <w:shd w:val="clear" w:color="auto" w:fill="FFFFFF"/>
            <w:tcMar>
              <w:top w:w="0" w:type="dxa"/>
              <w:left w:w="108" w:type="dxa"/>
              <w:bottom w:w="0" w:type="dxa"/>
              <w:right w:w="108" w:type="dxa"/>
            </w:tcMar>
            <w:hideMark/>
          </w:tcPr>
          <w:p w:rsidR="00DC748C" w:rsidRPr="00DC748C" w:rsidRDefault="00DC748C" w:rsidP="00DC748C">
            <w:pPr>
              <w:spacing w:before="120" w:after="120" w:line="234" w:lineRule="atLeast"/>
              <w:jc w:val="center"/>
              <w:rPr>
                <w:rFonts w:ascii="Arial" w:eastAsia="Times New Roman" w:hAnsi="Arial" w:cs="Arial"/>
                <w:color w:val="000000"/>
                <w:sz w:val="18"/>
                <w:szCs w:val="18"/>
              </w:rPr>
            </w:pPr>
            <w:r w:rsidRPr="00DC748C">
              <w:rPr>
                <w:rFonts w:ascii="Arial" w:eastAsia="Times New Roman" w:hAnsi="Arial" w:cs="Arial"/>
                <w:color w:val="000000"/>
                <w:sz w:val="18"/>
                <w:szCs w:val="18"/>
                <w:lang w:val="vi-VN"/>
              </w:rPr>
              <w:t>Số: 406/NQ-UBTVQH15</w:t>
            </w:r>
          </w:p>
        </w:tc>
        <w:tc>
          <w:tcPr>
            <w:tcW w:w="5508" w:type="dxa"/>
            <w:shd w:val="clear" w:color="auto" w:fill="FFFFFF"/>
            <w:tcMar>
              <w:top w:w="0" w:type="dxa"/>
              <w:left w:w="108" w:type="dxa"/>
              <w:bottom w:w="0" w:type="dxa"/>
              <w:right w:w="108" w:type="dxa"/>
            </w:tcMar>
            <w:hideMark/>
          </w:tcPr>
          <w:p w:rsidR="00DC748C" w:rsidRPr="00DC748C" w:rsidRDefault="00DC748C" w:rsidP="00DC748C">
            <w:pPr>
              <w:spacing w:before="120" w:after="120" w:line="234" w:lineRule="atLeast"/>
              <w:jc w:val="righ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Hà Nội, ngày 19 tháng 10 năm 2021</w:t>
            </w:r>
          </w:p>
        </w:tc>
      </w:tr>
    </w:tbl>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rPr>
        <w:t> </w:t>
      </w:r>
    </w:p>
    <w:p w:rsidR="00DC748C" w:rsidRPr="00DC748C" w:rsidRDefault="00DC748C" w:rsidP="00DC748C">
      <w:pPr>
        <w:shd w:val="clear" w:color="auto" w:fill="FFFFFF"/>
        <w:spacing w:after="0" w:line="234" w:lineRule="atLeast"/>
        <w:jc w:val="center"/>
        <w:rPr>
          <w:rFonts w:ascii="Arial" w:eastAsia="Times New Roman" w:hAnsi="Arial" w:cs="Arial"/>
          <w:color w:val="000000"/>
          <w:sz w:val="18"/>
          <w:szCs w:val="18"/>
        </w:rPr>
      </w:pPr>
      <w:bookmarkStart w:id="0" w:name="loai_1"/>
      <w:r w:rsidRPr="00DC748C">
        <w:rPr>
          <w:rFonts w:ascii="Arial" w:eastAsia="Times New Roman" w:hAnsi="Arial" w:cs="Arial"/>
          <w:b/>
          <w:bCs/>
          <w:color w:val="000000"/>
          <w:sz w:val="24"/>
          <w:szCs w:val="24"/>
          <w:lang w:val="vi-VN"/>
        </w:rPr>
        <w:t>NGHỊ QUYẾT</w:t>
      </w:r>
      <w:bookmarkEnd w:id="0"/>
    </w:p>
    <w:p w:rsidR="00DC748C" w:rsidRPr="00DC748C" w:rsidRDefault="00DC748C" w:rsidP="00DC748C">
      <w:pPr>
        <w:shd w:val="clear" w:color="auto" w:fill="FFFFFF"/>
        <w:spacing w:after="0" w:line="234" w:lineRule="atLeast"/>
        <w:jc w:val="center"/>
        <w:rPr>
          <w:rFonts w:ascii="Arial" w:eastAsia="Times New Roman" w:hAnsi="Arial" w:cs="Arial"/>
          <w:color w:val="000000"/>
          <w:sz w:val="18"/>
          <w:szCs w:val="18"/>
        </w:rPr>
      </w:pPr>
      <w:bookmarkStart w:id="1" w:name="loai_1_name"/>
      <w:r w:rsidRPr="00DC748C">
        <w:rPr>
          <w:rFonts w:ascii="Arial" w:eastAsia="Times New Roman" w:hAnsi="Arial" w:cs="Arial"/>
          <w:color w:val="000000"/>
          <w:sz w:val="18"/>
          <w:szCs w:val="18"/>
          <w:lang w:val="vi-VN"/>
        </w:rPr>
        <w:t>VỀ BAN HÀNH MỘT SỐ GIẢI PHÁP NHẰM HỖ TRỢ DOANH NGHIỆP, NGƯỜI DÂN CHỊU TÁC ĐỘNG CỦA DỊCH COVID-19</w:t>
      </w:r>
      <w:bookmarkEnd w:id="1"/>
    </w:p>
    <w:p w:rsidR="00DC748C" w:rsidRPr="00DC748C" w:rsidRDefault="00DC748C" w:rsidP="00DC748C">
      <w:pPr>
        <w:shd w:val="clear" w:color="auto" w:fill="FFFFFF"/>
        <w:spacing w:before="120" w:after="120" w:line="234" w:lineRule="atLeast"/>
        <w:jc w:val="center"/>
        <w:rPr>
          <w:rFonts w:ascii="Arial" w:eastAsia="Times New Roman" w:hAnsi="Arial" w:cs="Arial"/>
          <w:color w:val="000000"/>
          <w:sz w:val="18"/>
          <w:szCs w:val="18"/>
        </w:rPr>
      </w:pPr>
      <w:r w:rsidRPr="00DC748C">
        <w:rPr>
          <w:rFonts w:ascii="Arial" w:eastAsia="Times New Roman" w:hAnsi="Arial" w:cs="Arial"/>
          <w:b/>
          <w:bCs/>
          <w:color w:val="000000"/>
          <w:sz w:val="24"/>
          <w:szCs w:val="24"/>
          <w:lang w:val="vi-VN"/>
        </w:rPr>
        <w:t>ỦY BAN THƯỜNG VỤ QUỐC HỘI</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Hiến pháp nước Cộng hòa xã hội chủ nghĩa Việt Nam;</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Luật Tổ chức Quốc hội số 57/2014/QH13 đã được sửa đổi, bổ sung một số điều theo Luật số 65/2020/QH14;</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Luật Thuế thu nhập doanh nghiệp số 14/2008/QH12 đã được sửa đổi, bổ sung một số điều theo Luật số 32/2013/QH13, Luật số 71/2014/QH13 và Luật số 61/2020/QH14;</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Luật Thuế thu nhập cá nhân 04/2007/QH12 đã được sửa đổi, bổ sung một số điều theo Luật số 26/2012/QH13 và Luật số 71/2014/QH13;</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Luật Thuế giá trị gia tăng số 13/2008/QH12 đã được sửa đổi, bổ sung một số điều theo Luật số 31/2013/QH13, Luật số 71/2014/QH13 và Luật số 106/2016/QH13;</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Luật Quản lý thuế số 38/2019/QH14;</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Nghị quyết số 30/2021/QH15 ngày 28 tháng 7 năm 2021 của Quốc hội Kỳ họp thứ nhất, Quốc hội khóa XV.</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i/>
          <w:iCs/>
          <w:color w:val="000000"/>
          <w:sz w:val="18"/>
          <w:szCs w:val="18"/>
          <w:lang w:val="vi-VN"/>
        </w:rPr>
        <w:t>Căn cứ Công văn số 2062-CV/VPTW ngày 16 tháng 10 năm 2021 của Văn phòng Trung ương Đảng về kết luận của Bộ Chính trị về chính sách miễn, giảm thuế hỗ trợ doanh nghiệp, người dân do tác động của đại dịch COVID-19.</w:t>
      </w:r>
    </w:p>
    <w:p w:rsidR="00DC748C" w:rsidRPr="00DC748C" w:rsidRDefault="00DC748C" w:rsidP="00DC748C">
      <w:pPr>
        <w:shd w:val="clear" w:color="auto" w:fill="FFFFFF"/>
        <w:spacing w:before="120" w:after="120" w:line="234" w:lineRule="atLeast"/>
        <w:jc w:val="center"/>
        <w:rPr>
          <w:rFonts w:ascii="Arial" w:eastAsia="Times New Roman" w:hAnsi="Arial" w:cs="Arial"/>
          <w:color w:val="000000"/>
          <w:sz w:val="18"/>
          <w:szCs w:val="18"/>
        </w:rPr>
      </w:pPr>
      <w:r w:rsidRPr="00DC748C">
        <w:rPr>
          <w:rFonts w:ascii="Arial" w:eastAsia="Times New Roman" w:hAnsi="Arial" w:cs="Arial"/>
          <w:b/>
          <w:bCs/>
          <w:color w:val="000000"/>
          <w:sz w:val="24"/>
          <w:szCs w:val="24"/>
          <w:lang w:val="vi-VN"/>
        </w:rPr>
        <w:t>QUYẾT NGHỊ:</w:t>
      </w:r>
    </w:p>
    <w:p w:rsidR="00DC748C" w:rsidRPr="00DC748C" w:rsidRDefault="00DC748C" w:rsidP="00DC748C">
      <w:pPr>
        <w:shd w:val="clear" w:color="auto" w:fill="FFFFFF"/>
        <w:spacing w:after="0" w:line="234" w:lineRule="atLeast"/>
        <w:rPr>
          <w:rFonts w:ascii="Arial" w:eastAsia="Times New Roman" w:hAnsi="Arial" w:cs="Arial"/>
          <w:color w:val="000000"/>
          <w:sz w:val="18"/>
          <w:szCs w:val="18"/>
        </w:rPr>
      </w:pPr>
      <w:bookmarkStart w:id="2" w:name="dieu_1"/>
      <w:r w:rsidRPr="00DC748C">
        <w:rPr>
          <w:rFonts w:ascii="Arial" w:eastAsia="Times New Roman" w:hAnsi="Arial" w:cs="Arial"/>
          <w:b/>
          <w:bCs/>
          <w:color w:val="000000"/>
          <w:sz w:val="18"/>
          <w:szCs w:val="18"/>
          <w:lang w:val="vi-VN"/>
        </w:rPr>
        <w:t>Điều 1. Một số giải pháp về miễn, giảm thuế</w:t>
      </w:r>
      <w:bookmarkEnd w:id="2"/>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1. Giảm 30% số thuế thu nhập doanh nghiệp phải nộp của năm 2021 đối với trường hợp người nộp thuế theo quy định của Luật Thuế thu nhập doanh nghiệp có doanh thu năm 2021 không quá 200 tỷ đồng và doanh thu năm 2021 giảm so với doanh thu năm 2019.</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Không áp dụng tiêu chí doanh thu năm 2021 giảm so với doanh thu năm 2019 đối với trường hợp người nộp thuế mới thành lập, hợp nhất, sáp nhập, chia, tách trong kỳ tính thuế năm 2020, năm 2021.</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2. Miễn thuế thu nhập cá nhân, thuế giá trị gia tăng và các loại thuế khác phải nộp phát sinh từ hoạt động sản xuất, kinh doanh của các tháng trong quý III và quý IV năm 2021 đối với hộ, cá nhân có hoạt động sản xuất, kinh doanh tại các địa bàn cấp huyện chịu tác động của dịch COVID-19 trong năm 2021 do Chủ tịch Ủy ban nhân dân tỉnh, thành phố trực thuộc trung ương quyết định. Không áp dụng việc miễn thuế đối với các khoản thu nhập, doanh thu từ cung cấp sản phẩm và dịch vụ phần mềm; sản phẩm và dịch vụ nội dung thông tin số về giải trí, trò chơi điện tử, phim số, ảnh số, nhạc số; quảng cáo số.</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3. Giảm thuế giá trị gia tăng kể từ ngày 01 tháng 11 năm 2021 đến hết ngày 31 tháng 12 năm 2021 đối với các hàng hóa, dịch vụ sau đây: (i) Dịch vụ vận tải (vận tải đường sắt, vận tải đường thủy, vận tải hàng không, vận tải đường bộ khác); dịch vụ lưu trú; dịch vụ ăn uống; dịch vụ của các đại lý du lịch, kinh doanh tua du lịch và các dịch vụ hỗ trợ, liên quan đến quảng bá và tổ chức tua du lịch; (ii) Sản phẩm và dịch vụ xuất bản; dịch vụ điện ảnh, sản xuất chương trình truyền hình, ghi âm và xuất bản âm nhạc; tác phẩm nghệ thuật và dịch vụ sáng tác, nghệ thuật, giải trí; dịch vụ của thư viện, lưu trữ, bảo tàng và các hoạt động văn hóa khác; dịch vụ thể thao, vui chơi và giải trí. Hàng hóa, dịch vụ trong nhóm (ii) không bao gồm phần mềm xuất bản và các hàng hóa, dịch vụ sản xuất, kinh doanh theo hình thức trực tuyến.</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Tùy thuộc vào phương pháp tính thuế, mức giảm thuế giá trị gia tăng được áp dụng như sau:</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lastRenderedPageBreak/>
        <w:t>a) Doanh nghiệp, tổ chức tính thuế giá trị gia tăng theo phương pháp khấu trừ sản xuất, kinh doanh hàng hóa, dịch vụ quy định tại khoản này được giảm 30% mức thuế suất thuế giá trị gia tăng;</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b) Doanh nghiệp, tổ chức tính thuế giá trị gia tăng theo phương pháp tỷ lệ % trên doanh thu sản xuất, kinh doanh hàng hóa, dịch vụ quy định tại khoản này được giảm 30% mức tỷ lệ % để tính thuế giá trị gia tăng.</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4. Miễn tiền chậm nộp phát sinh trong năm 2020 và năm 2021 của các khoản nợ tiền thuế, tiền sử dụng đất, tiền thuê đất đối với doanh nghiệp, tổ chức (bao gồm cả đơn vị phụ thuộc, địa điểm kinh doanh) phát sinh lỗ trong năm 2020.</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Không áp dụng quy định tại khoản này đối với các trường hợp đã nộp tiền chậm nộp.</w:t>
      </w:r>
    </w:p>
    <w:p w:rsidR="00DC748C" w:rsidRPr="00DC748C" w:rsidRDefault="00DC748C" w:rsidP="00DC748C">
      <w:pPr>
        <w:shd w:val="clear" w:color="auto" w:fill="FFFFFF"/>
        <w:spacing w:after="0" w:line="234" w:lineRule="atLeast"/>
        <w:rPr>
          <w:rFonts w:ascii="Arial" w:eastAsia="Times New Roman" w:hAnsi="Arial" w:cs="Arial"/>
          <w:color w:val="000000"/>
          <w:sz w:val="18"/>
          <w:szCs w:val="18"/>
        </w:rPr>
      </w:pPr>
      <w:bookmarkStart w:id="3" w:name="dieu_2"/>
      <w:r w:rsidRPr="00DC748C">
        <w:rPr>
          <w:rFonts w:ascii="Arial" w:eastAsia="Times New Roman" w:hAnsi="Arial" w:cs="Arial"/>
          <w:b/>
          <w:bCs/>
          <w:color w:val="000000"/>
          <w:sz w:val="18"/>
          <w:szCs w:val="18"/>
          <w:lang w:val="vi-VN"/>
        </w:rPr>
        <w:t>Điều 2. Tổ chức thực hiện</w:t>
      </w:r>
      <w:bookmarkEnd w:id="3"/>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1. Chính phủ có trách nhiệm triển khai để người tiêu dùng được thụ hưởng lợi ích từ việc giảm thuế giá trị gia tăng quy định tại khoản 3 Điều 1 của Nghị quyết này.</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2. Giao Chính phủ tiếp tục rà soát, thực hiện các giải pháp theo thẩm quyền để hỗ trợ doanh nghiệp, tổ chức giảm chi phí đầu vào; nghiên cứu phương án hỗ trợ thuế thu nhập doanh nghiệp dựa trên chi phí lao động, phương án sử dụng ngân sách cấp bù lãi suất tiền vay cho doanh nghiệp, tổ chức bị ảnh hưởng nặng bởi dịch COVID-19 để phục hồi sản xuất, kinh doanh.</w:t>
      </w:r>
    </w:p>
    <w:p w:rsidR="00DC748C" w:rsidRPr="00DC748C" w:rsidRDefault="00DC748C" w:rsidP="00DC748C">
      <w:pPr>
        <w:shd w:val="clear" w:color="auto" w:fill="FFFFFF"/>
        <w:spacing w:after="0" w:line="234" w:lineRule="atLeast"/>
        <w:rPr>
          <w:rFonts w:ascii="Arial" w:eastAsia="Times New Roman" w:hAnsi="Arial" w:cs="Arial"/>
          <w:color w:val="000000"/>
          <w:sz w:val="18"/>
          <w:szCs w:val="18"/>
        </w:rPr>
      </w:pPr>
      <w:bookmarkStart w:id="4" w:name="dieu_3"/>
      <w:r w:rsidRPr="00DC748C">
        <w:rPr>
          <w:rFonts w:ascii="Arial" w:eastAsia="Times New Roman" w:hAnsi="Arial" w:cs="Arial"/>
          <w:b/>
          <w:bCs/>
          <w:color w:val="000000"/>
          <w:sz w:val="18"/>
          <w:szCs w:val="18"/>
          <w:lang w:val="vi-VN"/>
        </w:rPr>
        <w:t>Điều 3. Điều khoản thi hành</w:t>
      </w:r>
      <w:bookmarkEnd w:id="4"/>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1. Nghị quyết này có hiệu lực thi hành kể từ ngày ký.</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2. Chính phủ hướng dẫn thi hành Nghị quyết này.</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lang w:val="vi-VN"/>
        </w:rPr>
        <w:t>3. Ủy ban Thường vụ Quốc hội, Ủy ban Tài chính, Ngân sách, Hội đồng Dân tộc và các Ủy ban khác của Quốc hội, Đoàn đại biểu Quốc hội, đại biểu Quốc hội, Hội đồng nhân dân các cấp, Kiểm toán nhà nước, trong phạm vi nhiệm vụ và quyền hạn của mình, giám sát việc thực hiện Nghị quyết này./.</w:t>
      </w:r>
    </w:p>
    <w:p w:rsidR="00DC748C" w:rsidRPr="00DC748C" w:rsidRDefault="00DC748C" w:rsidP="00DC748C">
      <w:pPr>
        <w:shd w:val="clear" w:color="auto" w:fill="FFFFFF"/>
        <w:spacing w:before="120" w:after="120" w:line="234" w:lineRule="atLeast"/>
        <w:rPr>
          <w:rFonts w:ascii="Arial" w:eastAsia="Times New Roman" w:hAnsi="Arial" w:cs="Arial"/>
          <w:color w:val="000000"/>
          <w:sz w:val="18"/>
          <w:szCs w:val="18"/>
        </w:rPr>
      </w:pPr>
      <w:r w:rsidRPr="00DC74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DC748C" w:rsidRPr="00DC748C" w:rsidTr="00DC748C">
        <w:trPr>
          <w:tblCellSpacing w:w="0" w:type="dxa"/>
        </w:trPr>
        <w:tc>
          <w:tcPr>
            <w:tcW w:w="3908" w:type="dxa"/>
            <w:shd w:val="clear" w:color="auto" w:fill="FFFFFF"/>
            <w:tcMar>
              <w:top w:w="0" w:type="dxa"/>
              <w:left w:w="108" w:type="dxa"/>
              <w:bottom w:w="0" w:type="dxa"/>
              <w:right w:w="108" w:type="dxa"/>
            </w:tcMar>
            <w:hideMark/>
          </w:tcPr>
          <w:p w:rsidR="00DC748C" w:rsidRPr="00DC748C" w:rsidRDefault="00DC748C" w:rsidP="00DC748C">
            <w:pPr>
              <w:spacing w:before="120" w:after="120" w:line="234" w:lineRule="atLeast"/>
              <w:rPr>
                <w:rFonts w:ascii="Arial" w:eastAsia="Times New Roman" w:hAnsi="Arial" w:cs="Arial"/>
                <w:color w:val="000000"/>
                <w:sz w:val="18"/>
                <w:szCs w:val="18"/>
              </w:rPr>
            </w:pPr>
            <w:r w:rsidRPr="00DC748C">
              <w:rPr>
                <w:rFonts w:ascii="Arial" w:eastAsia="Times New Roman" w:hAnsi="Arial" w:cs="Arial"/>
                <w:b/>
                <w:bCs/>
                <w:i/>
                <w:iCs/>
                <w:color w:val="000000"/>
                <w:sz w:val="18"/>
                <w:szCs w:val="18"/>
                <w:lang w:val="vi-VN"/>
              </w:rPr>
              <w:br/>
              <w:t>Nơi nhận:</w:t>
            </w:r>
            <w:r w:rsidRPr="00DC748C">
              <w:rPr>
                <w:rFonts w:ascii="Arial" w:eastAsia="Times New Roman" w:hAnsi="Arial" w:cs="Arial"/>
                <w:b/>
                <w:bCs/>
                <w:i/>
                <w:iCs/>
                <w:color w:val="000000"/>
                <w:sz w:val="18"/>
                <w:szCs w:val="18"/>
                <w:lang w:val="vi-VN"/>
              </w:rPr>
              <w:br/>
            </w:r>
            <w:r w:rsidRPr="00DC748C">
              <w:rPr>
                <w:rFonts w:ascii="Arial" w:eastAsia="Times New Roman" w:hAnsi="Arial" w:cs="Arial"/>
                <w:color w:val="000000"/>
                <w:sz w:val="16"/>
                <w:szCs w:val="16"/>
                <w:lang w:val="vi-VN"/>
              </w:rPr>
              <w:t>- Như khoản 3 Điều 3;</w:t>
            </w:r>
            <w:r w:rsidRPr="00DC748C">
              <w:rPr>
                <w:rFonts w:ascii="Arial" w:eastAsia="Times New Roman" w:hAnsi="Arial" w:cs="Arial"/>
                <w:color w:val="000000"/>
                <w:sz w:val="16"/>
                <w:szCs w:val="16"/>
                <w:lang w:val="vi-VN"/>
              </w:rPr>
              <w:br/>
              <w:t>- Chính phủ;</w:t>
            </w:r>
            <w:r w:rsidRPr="00DC748C">
              <w:rPr>
                <w:rFonts w:ascii="Arial" w:eastAsia="Times New Roman" w:hAnsi="Arial" w:cs="Arial"/>
                <w:color w:val="000000"/>
                <w:sz w:val="16"/>
                <w:szCs w:val="16"/>
                <w:lang w:val="vi-VN"/>
              </w:rPr>
              <w:br/>
              <w:t>- UBTƯMTTQVN;</w:t>
            </w:r>
            <w:r w:rsidRPr="00DC748C">
              <w:rPr>
                <w:rFonts w:ascii="Arial" w:eastAsia="Times New Roman" w:hAnsi="Arial" w:cs="Arial"/>
                <w:color w:val="000000"/>
                <w:sz w:val="16"/>
                <w:szCs w:val="16"/>
                <w:lang w:val="vi-VN"/>
              </w:rPr>
              <w:br/>
              <w:t>- Các Bộ: TC, TP;</w:t>
            </w:r>
            <w:r w:rsidRPr="00DC748C">
              <w:rPr>
                <w:rFonts w:ascii="Arial" w:eastAsia="Times New Roman" w:hAnsi="Arial" w:cs="Arial"/>
                <w:color w:val="000000"/>
                <w:sz w:val="16"/>
                <w:szCs w:val="16"/>
                <w:lang w:val="vi-VN"/>
              </w:rPr>
              <w:br/>
              <w:t>- Các Văn phòng: TƯ Đảng, CTN, CP;</w:t>
            </w:r>
            <w:r w:rsidRPr="00DC748C">
              <w:rPr>
                <w:rFonts w:ascii="Arial" w:eastAsia="Times New Roman" w:hAnsi="Arial" w:cs="Arial"/>
                <w:color w:val="000000"/>
                <w:sz w:val="16"/>
                <w:szCs w:val="16"/>
                <w:lang w:val="vi-VN"/>
              </w:rPr>
              <w:br/>
              <w:t>- Lãnh đạo VPQH;</w:t>
            </w:r>
            <w:r w:rsidRPr="00DC748C">
              <w:rPr>
                <w:rFonts w:ascii="Arial" w:eastAsia="Times New Roman" w:hAnsi="Arial" w:cs="Arial"/>
                <w:color w:val="000000"/>
                <w:sz w:val="16"/>
                <w:szCs w:val="16"/>
                <w:lang w:val="vi-VN"/>
              </w:rPr>
              <w:br/>
              <w:t>- Lưu: HC, TCNS.</w:t>
            </w:r>
            <w:r w:rsidRPr="00DC748C">
              <w:rPr>
                <w:rFonts w:ascii="Arial" w:eastAsia="Times New Roman" w:hAnsi="Arial" w:cs="Arial"/>
                <w:color w:val="000000"/>
                <w:sz w:val="16"/>
                <w:szCs w:val="16"/>
                <w:lang w:val="vi-VN"/>
              </w:rPr>
              <w:br/>
            </w:r>
            <w:r w:rsidRPr="00DC748C">
              <w:rPr>
                <w:rFonts w:ascii="Arial" w:eastAsia="Times New Roman" w:hAnsi="Arial" w:cs="Arial"/>
                <w:color w:val="000000"/>
                <w:sz w:val="16"/>
                <w:szCs w:val="16"/>
              </w:rPr>
              <w:t>E</w:t>
            </w:r>
            <w:r w:rsidRPr="00DC748C">
              <w:rPr>
                <w:rFonts w:ascii="Arial" w:eastAsia="Times New Roman" w:hAnsi="Arial" w:cs="Arial"/>
                <w:color w:val="000000"/>
                <w:sz w:val="16"/>
                <w:szCs w:val="16"/>
                <w:lang w:val="vi-VN"/>
              </w:rPr>
              <w:t>-pas: 79479</w:t>
            </w:r>
          </w:p>
        </w:tc>
        <w:tc>
          <w:tcPr>
            <w:tcW w:w="4948" w:type="dxa"/>
            <w:shd w:val="clear" w:color="auto" w:fill="FFFFFF"/>
            <w:tcMar>
              <w:top w:w="0" w:type="dxa"/>
              <w:left w:w="108" w:type="dxa"/>
              <w:bottom w:w="0" w:type="dxa"/>
              <w:right w:w="108" w:type="dxa"/>
            </w:tcMar>
            <w:hideMark/>
          </w:tcPr>
          <w:p w:rsidR="00DC748C" w:rsidRPr="00DC748C" w:rsidRDefault="00DC748C" w:rsidP="00DC748C">
            <w:pPr>
              <w:spacing w:before="120" w:after="120" w:line="234" w:lineRule="atLeast"/>
              <w:jc w:val="center"/>
              <w:rPr>
                <w:rFonts w:ascii="Arial" w:eastAsia="Times New Roman" w:hAnsi="Arial" w:cs="Arial"/>
                <w:color w:val="000000"/>
                <w:sz w:val="18"/>
                <w:szCs w:val="18"/>
              </w:rPr>
            </w:pPr>
            <w:r w:rsidRPr="00DC748C">
              <w:rPr>
                <w:rFonts w:ascii="Arial" w:eastAsia="Times New Roman" w:hAnsi="Arial" w:cs="Arial"/>
                <w:b/>
                <w:bCs/>
                <w:color w:val="000000"/>
                <w:sz w:val="18"/>
                <w:szCs w:val="18"/>
                <w:lang w:val="vi-VN"/>
              </w:rPr>
              <w:t>TM. ỦY BAN THƯỜNG VỤ QUỐC HỘI</w:t>
            </w:r>
            <w:r w:rsidRPr="00DC748C">
              <w:rPr>
                <w:rFonts w:ascii="Arial" w:eastAsia="Times New Roman" w:hAnsi="Arial" w:cs="Arial"/>
                <w:b/>
                <w:bCs/>
                <w:color w:val="000000"/>
                <w:sz w:val="18"/>
                <w:szCs w:val="18"/>
                <w:lang w:val="vi-VN"/>
              </w:rPr>
              <w:br/>
              <w:t>CHỦ TỊCH</w:t>
            </w:r>
            <w:r w:rsidRPr="00DC748C">
              <w:rPr>
                <w:rFonts w:ascii="Arial" w:eastAsia="Times New Roman" w:hAnsi="Arial" w:cs="Arial"/>
                <w:b/>
                <w:bCs/>
                <w:color w:val="000000"/>
                <w:sz w:val="18"/>
                <w:szCs w:val="18"/>
                <w:lang w:val="vi-VN"/>
              </w:rPr>
              <w:br/>
            </w:r>
            <w:r w:rsidRPr="00DC748C">
              <w:rPr>
                <w:rFonts w:ascii="Arial" w:eastAsia="Times New Roman" w:hAnsi="Arial" w:cs="Arial"/>
                <w:b/>
                <w:bCs/>
                <w:color w:val="000000"/>
                <w:sz w:val="18"/>
                <w:szCs w:val="18"/>
                <w:lang w:val="vi-VN"/>
              </w:rPr>
              <w:br/>
            </w:r>
            <w:r w:rsidRPr="00DC748C">
              <w:rPr>
                <w:rFonts w:ascii="Arial" w:eastAsia="Times New Roman" w:hAnsi="Arial" w:cs="Arial"/>
                <w:b/>
                <w:bCs/>
                <w:color w:val="000000"/>
                <w:sz w:val="18"/>
                <w:szCs w:val="18"/>
                <w:lang w:val="vi-VN"/>
              </w:rPr>
              <w:br/>
            </w:r>
            <w:r>
              <w:rPr>
                <w:rFonts w:ascii="Arial" w:eastAsia="Times New Roman" w:hAnsi="Arial" w:cs="Arial"/>
                <w:b/>
                <w:bCs/>
                <w:color w:val="000000"/>
                <w:sz w:val="18"/>
                <w:szCs w:val="18"/>
              </w:rPr>
              <w:t>(</w:t>
            </w:r>
            <w:bookmarkStart w:id="5" w:name="_GoBack"/>
            <w:bookmarkEnd w:id="5"/>
            <w:r>
              <w:rPr>
                <w:rFonts w:ascii="Arial" w:eastAsia="Times New Roman" w:hAnsi="Arial" w:cs="Arial"/>
                <w:b/>
                <w:bCs/>
                <w:color w:val="000000"/>
                <w:sz w:val="18"/>
                <w:szCs w:val="18"/>
              </w:rPr>
              <w:t>Đã ký)</w:t>
            </w:r>
            <w:r w:rsidRPr="00DC748C">
              <w:rPr>
                <w:rFonts w:ascii="Arial" w:eastAsia="Times New Roman" w:hAnsi="Arial" w:cs="Arial"/>
                <w:b/>
                <w:bCs/>
                <w:color w:val="000000"/>
                <w:sz w:val="18"/>
                <w:szCs w:val="18"/>
                <w:lang w:val="vi-VN"/>
              </w:rPr>
              <w:br/>
            </w:r>
            <w:r w:rsidRPr="00DC748C">
              <w:rPr>
                <w:rFonts w:ascii="Arial" w:eastAsia="Times New Roman" w:hAnsi="Arial" w:cs="Arial"/>
                <w:b/>
                <w:bCs/>
                <w:color w:val="000000"/>
                <w:sz w:val="18"/>
                <w:szCs w:val="18"/>
                <w:lang w:val="vi-VN"/>
              </w:rPr>
              <w:br/>
              <w:t>Vương Đình Huệ</w:t>
            </w:r>
          </w:p>
        </w:tc>
      </w:tr>
    </w:tbl>
    <w:p w:rsidR="0008629E" w:rsidRDefault="0008629E"/>
    <w:sectPr w:rsidR="00086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8C"/>
    <w:rsid w:val="0008629E"/>
    <w:rsid w:val="00D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4497"/>
  <w15:chartTrackingRefBased/>
  <w15:docId w15:val="{182F77B2-EB4C-43BD-A84E-CBE57FEE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2021-10-29T08:17:00Z</dcterms:created>
  <dcterms:modified xsi:type="dcterms:W3CDTF">2021-10-29T08:18:00Z</dcterms:modified>
</cp:coreProperties>
</file>